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45" w:rsidRPr="00921B2B" w:rsidRDefault="00C10A45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C10A45" w:rsidRPr="00921B2B" w:rsidRDefault="003D444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0A45" w:rsidRPr="003F699B" w:rsidRDefault="003F699B" w:rsidP="003F699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3F699B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3F699B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5: </w:t>
                              </w:r>
                              <w:r w:rsidRPr="003F699B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Λαμβάνοντας αποφάσεις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C10A45" w:rsidRPr="003F699B" w:rsidRDefault="003F699B" w:rsidP="003F699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3F699B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3F699B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5: </w:t>
                        </w:r>
                        <w:r w:rsidRPr="003F699B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Λαμβάνοντας αποφάσεις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10A45" w:rsidRPr="00921B2B" w:rsidRDefault="00C10A45">
      <w:pPr>
        <w:spacing w:before="5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3F699B" w:rsidRPr="003F699B" w:rsidRDefault="003F699B" w:rsidP="003F699B">
      <w:pPr>
        <w:spacing w:before="2"/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  <w:r w:rsidRPr="003F699B"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  <w:t>Φύλλο εργασίας 5.1α Πως η εξαγωγή βιαστικών συμπερασμάτων προωθεί τις παρεξηγήσεις, π.χ. κατά τη διάρκεια της ψύχωσης – προσωπικά παραδείγματα</w:t>
      </w:r>
      <w:bookmarkStart w:id="0" w:name="_GoBack"/>
      <w:bookmarkEnd w:id="0"/>
    </w:p>
    <w:p w:rsidR="00C10A45" w:rsidRPr="003F699B" w:rsidRDefault="00C10A45" w:rsidP="003F699B">
      <w:pPr>
        <w:spacing w:before="2"/>
        <w:ind w:left="142"/>
        <w:rPr>
          <w:rFonts w:ascii="Verdana" w:eastAsia="Verdana" w:hAnsi="Verdana" w:cs="Verdana"/>
          <w:b/>
          <w:bCs/>
          <w:lang w:val="el-G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C10A45" w:rsidRPr="003F699B">
        <w:trPr>
          <w:trHeight w:hRule="exact" w:val="205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F699B" w:rsidRPr="00762D8C" w:rsidRDefault="003F699B" w:rsidP="003F699B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de-DE"/>
              </w:rPr>
              <w:t xml:space="preserve"> 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  <w:t>Γεγονός</w:t>
            </w:r>
          </w:p>
          <w:p w:rsidR="003F699B" w:rsidRDefault="003F699B" w:rsidP="003F699B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GB"/>
              </w:rPr>
            </w:pPr>
          </w:p>
          <w:p w:rsidR="003F699B" w:rsidRPr="00730605" w:rsidRDefault="003F699B" w:rsidP="003F699B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GB"/>
              </w:rPr>
            </w:pPr>
          </w:p>
          <w:p w:rsidR="00C10A45" w:rsidRPr="00921B2B" w:rsidRDefault="003F699B" w:rsidP="003F699B">
            <w:pPr>
              <w:pStyle w:val="TableParagraph"/>
              <w:spacing w:line="256" w:lineRule="auto"/>
              <w:ind w:left="165" w:right="41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 «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Άκουσα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βήματα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ακριβώς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από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πίσω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μου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που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γινόταν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όλο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και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πιο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γρήγορα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,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αλλά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δεν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τόλμησα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να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γυρίσω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και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να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κοιτάξω».)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F699B" w:rsidRPr="00762D8C" w:rsidRDefault="003F699B" w:rsidP="003F699B">
            <w:pPr>
              <w:ind w:left="13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  <w:t>Ερμηνεία κατά τη διάρκεια της ψύχωσης</w:t>
            </w:r>
          </w:p>
          <w:p w:rsidR="003F699B" w:rsidRPr="00762D8C" w:rsidRDefault="003F699B" w:rsidP="003F699B">
            <w:pPr>
              <w:ind w:left="13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</w:p>
          <w:p w:rsidR="003F699B" w:rsidRPr="00762D8C" w:rsidRDefault="003F699B" w:rsidP="003F699B">
            <w:pPr>
              <w:autoSpaceDE w:val="0"/>
              <w:autoSpaceDN w:val="0"/>
              <w:adjustRightInd w:val="0"/>
              <w:ind w:left="130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.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η ΕΥΠ με βρήκε, θα με συλλάβουν αυτή τη στιγμή».)</w:t>
            </w:r>
          </w:p>
          <w:p w:rsidR="00C10A45" w:rsidRPr="003F699B" w:rsidRDefault="00C10A45" w:rsidP="00A41ADA">
            <w:pPr>
              <w:pStyle w:val="TableParagraph"/>
              <w:spacing w:line="256" w:lineRule="auto"/>
              <w:ind w:left="165" w:right="743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F699B" w:rsidRPr="003F699B" w:rsidRDefault="003F699B" w:rsidP="003F699B">
            <w:pPr>
              <w:ind w:left="228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  <w:t>Εναλλακτική</w:t>
            </w:r>
            <w:r w:rsidRPr="003F699B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  <w:t>εξήγηση</w:t>
            </w:r>
          </w:p>
          <w:p w:rsidR="003F699B" w:rsidRPr="003F699B" w:rsidRDefault="003F699B" w:rsidP="003F699B">
            <w:pPr>
              <w:ind w:left="228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</w:p>
          <w:p w:rsidR="003F699B" w:rsidRPr="003F699B" w:rsidRDefault="003F699B" w:rsidP="003F699B">
            <w:pPr>
              <w:ind w:left="228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</w:p>
          <w:p w:rsidR="003F699B" w:rsidRPr="00762D8C" w:rsidRDefault="003F699B" w:rsidP="003F699B">
            <w:pPr>
              <w:autoSpaceDE w:val="0"/>
              <w:autoSpaceDN w:val="0"/>
              <w:adjustRightInd w:val="0"/>
              <w:ind w:left="228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 «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Κάποιος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ήθελε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να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προλάβει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το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λεωφορείο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∙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Μπορεί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να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το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φαντάστηκα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»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 w:rsidRPr="00762D8C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</w:p>
          <w:p w:rsidR="00C10A45" w:rsidRPr="003F699B" w:rsidRDefault="00C10A45" w:rsidP="00921B2B">
            <w:pPr>
              <w:pStyle w:val="TableParagraph"/>
              <w:spacing w:line="256" w:lineRule="auto"/>
              <w:ind w:left="165" w:right="325"/>
              <w:jc w:val="both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</w:tr>
      <w:tr w:rsidR="00C10A45" w:rsidRPr="003F699B">
        <w:trPr>
          <w:trHeight w:hRule="exact" w:val="23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</w:tr>
      <w:tr w:rsidR="00C10A45" w:rsidRPr="003F699B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</w:tr>
      <w:tr w:rsidR="00C10A45" w:rsidRPr="003F699B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3F699B" w:rsidRDefault="00C10A45">
            <w:pPr>
              <w:rPr>
                <w:lang w:val="el-GR"/>
              </w:rPr>
            </w:pPr>
          </w:p>
        </w:tc>
      </w:tr>
    </w:tbl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C10A45" w:rsidRPr="003F699B" w:rsidRDefault="00C10A45" w:rsidP="00CA0276">
      <w:pPr>
        <w:tabs>
          <w:tab w:val="left" w:pos="1110"/>
        </w:tabs>
        <w:rPr>
          <w:rFonts w:ascii="Verdana" w:eastAsia="Verdana" w:hAnsi="Verdana" w:cs="Verdana"/>
          <w:lang w:val="el-GR"/>
        </w:rPr>
      </w:pPr>
    </w:p>
    <w:sectPr w:rsidR="00C10A45" w:rsidRPr="003F699B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708" w:rsidRDefault="001B7708" w:rsidP="00CA0276">
      <w:r>
        <w:separator/>
      </w:r>
    </w:p>
  </w:endnote>
  <w:endnote w:type="continuationSeparator" w:id="0">
    <w:p w:rsidR="001B7708" w:rsidRDefault="001B7708" w:rsidP="00CA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276" w:rsidRPr="00CA0276" w:rsidRDefault="00CA0276" w:rsidP="00CA0276">
    <w:pPr>
      <w:spacing w:before="83"/>
      <w:jc w:val="center"/>
      <w:rPr>
        <w:rFonts w:ascii="Verdana" w:eastAsia="Gill Sans MT" w:hAnsi="Verdana" w:cs="Gill Sans MT"/>
        <w:sz w:val="16"/>
        <w:szCs w:val="16"/>
      </w:rPr>
    </w:pPr>
  </w:p>
  <w:p w:rsidR="00CA0276" w:rsidRDefault="00CA0276">
    <w:pPr>
      <w:pStyle w:val="Fuzeile"/>
    </w:pPr>
  </w:p>
  <w:p w:rsidR="00CA0276" w:rsidRDefault="00CA02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708" w:rsidRDefault="001B7708" w:rsidP="00CA0276">
      <w:r>
        <w:separator/>
      </w:r>
    </w:p>
  </w:footnote>
  <w:footnote w:type="continuationSeparator" w:id="0">
    <w:p w:rsidR="001B7708" w:rsidRDefault="001B7708" w:rsidP="00CA0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45"/>
    <w:rsid w:val="000D454E"/>
    <w:rsid w:val="001B7708"/>
    <w:rsid w:val="003D1578"/>
    <w:rsid w:val="003D4445"/>
    <w:rsid w:val="003F699B"/>
    <w:rsid w:val="00921B2B"/>
    <w:rsid w:val="009B08EF"/>
    <w:rsid w:val="00A41ADA"/>
    <w:rsid w:val="00C10A45"/>
    <w:rsid w:val="00CA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AD7DF-5B03-43BA-BA97-F586DF39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0276"/>
  </w:style>
  <w:style w:type="paragraph" w:styleId="Fuzeile">
    <w:name w:val="footer"/>
    <w:basedOn w:val="Standard"/>
    <w:link w:val="Fu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027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2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276"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rsid w:val="003F699B"/>
    <w:pPr>
      <w:widowControl/>
      <w:ind w:left="480" w:hanging="480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2017-02-06T11:34:00Z</dcterms:created>
  <dcterms:modified xsi:type="dcterms:W3CDTF">2017-02-06T11:34:00Z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