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0DB" w:rsidRPr="00B66A56" w:rsidRDefault="001B10DB">
      <w:pPr>
        <w:spacing w:before="9"/>
        <w:rPr>
          <w:rFonts w:ascii="Times New Roman" w:eastAsia="Times New Roman" w:hAnsi="Times New Roman" w:cs="Times New Roman"/>
          <w:color w:val="0070C0"/>
          <w:sz w:val="7"/>
          <w:szCs w:val="7"/>
        </w:rPr>
      </w:pPr>
    </w:p>
    <w:tbl>
      <w:tblPr>
        <w:tblStyle w:val="Tabellenraster"/>
        <w:tblpPr w:leftFromText="141" w:rightFromText="141" w:vertAnchor="page" w:horzAnchor="margin" w:tblpXSpec="center" w:tblpY="561"/>
        <w:tblW w:w="10773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E71176" w:rsidRPr="00402FF8" w:rsidTr="005F160F">
        <w:trPr>
          <w:trHeight w:val="709"/>
        </w:trPr>
        <w:tc>
          <w:tcPr>
            <w:tcW w:w="767" w:type="dxa"/>
            <w:vAlign w:val="center"/>
          </w:tcPr>
          <w:p w:rsidR="00E71176" w:rsidRPr="00F37802" w:rsidRDefault="00E71176" w:rsidP="005F160F">
            <w:pPr>
              <w:rPr>
                <w:rFonts w:ascii="Verdana" w:hAnsi="Verdana"/>
                <w:b/>
                <w:bCs/>
                <w:color w:val="0070C0"/>
                <w:lang w:val="fr-FR"/>
              </w:rPr>
            </w:pPr>
            <w:r w:rsidRPr="00F37802">
              <w:rPr>
                <w:rFonts w:ascii="Verdana" w:hAnsi="Verdana"/>
                <w:b/>
                <w:bCs/>
                <w:noProof/>
                <w:color w:val="0070C0"/>
                <w:lang w:eastAsia="de-DE" w:bidi="he-IL"/>
              </w:rPr>
              <w:drawing>
                <wp:inline distT="0" distB="0" distL="0" distR="0" wp14:anchorId="684DAAFC" wp14:editId="06A568FB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E71176" w:rsidRPr="00F37802" w:rsidRDefault="00E71176" w:rsidP="005F160F">
            <w:pPr>
              <w:rPr>
                <w:rFonts w:ascii="Verdana" w:hAnsi="Verdana"/>
                <w:b/>
                <w:bCs/>
                <w:color w:val="0070C0"/>
                <w:lang w:val="fr-FR"/>
              </w:rPr>
            </w:pPr>
            <w:r w:rsidRPr="00F37802">
              <w:rPr>
                <w:rFonts w:ascii="Verdana" w:hAnsi="Verdana"/>
                <w:b/>
                <w:bCs/>
                <w:color w:val="0070C0"/>
                <w:lang w:val="fr-FR"/>
              </w:rPr>
              <w:t xml:space="preserve">Module thérapeutique 11 : </w:t>
            </w:r>
            <w:r>
              <w:rPr>
                <w:rFonts w:ascii="Verdana" w:hAnsi="Verdana"/>
                <w:b/>
                <w:bCs/>
                <w:color w:val="0070C0"/>
                <w:lang w:val="fr-FR"/>
              </w:rPr>
              <w:t>V</w:t>
            </w:r>
            <w:r w:rsidRPr="00F37802">
              <w:rPr>
                <w:rFonts w:ascii="Verdana" w:hAnsi="Verdana"/>
                <w:b/>
                <w:bCs/>
                <w:color w:val="0070C0"/>
                <w:lang w:val="fr-FR"/>
              </w:rPr>
              <w:t>iv</w:t>
            </w:r>
            <w:r>
              <w:rPr>
                <w:rFonts w:ascii="Verdana" w:hAnsi="Verdana"/>
                <w:b/>
                <w:bCs/>
                <w:color w:val="0070C0"/>
                <w:lang w:val="fr-FR"/>
              </w:rPr>
              <w:t xml:space="preserve">re avec un trouble psychotique </w:t>
            </w:r>
            <w:r w:rsidRPr="00F37802">
              <w:rPr>
                <w:rFonts w:ascii="Verdana" w:hAnsi="Verdana"/>
                <w:b/>
                <w:bCs/>
                <w:color w:val="0070C0"/>
                <w:lang w:val="fr-FR"/>
              </w:rPr>
              <w:t>et prévenir les rechutes</w:t>
            </w:r>
          </w:p>
        </w:tc>
      </w:tr>
    </w:tbl>
    <w:p w:rsidR="001B10DB" w:rsidRPr="00B66A56" w:rsidRDefault="001B10DB">
      <w:pPr>
        <w:spacing w:before="2"/>
        <w:rPr>
          <w:rFonts w:ascii="Times New Roman" w:eastAsia="Times New Roman" w:hAnsi="Times New Roman" w:cs="Times New Roman"/>
          <w:color w:val="0070C0"/>
          <w:sz w:val="18"/>
          <w:szCs w:val="18"/>
        </w:rPr>
      </w:pPr>
      <w:bookmarkStart w:id="0" w:name="_GoBack"/>
      <w:bookmarkEnd w:id="0"/>
    </w:p>
    <w:p w:rsidR="001B10DB" w:rsidRPr="00146614" w:rsidRDefault="00C31CAD" w:rsidP="00423796">
      <w:pPr>
        <w:spacing w:before="57"/>
        <w:ind w:left="106" w:right="195"/>
        <w:rPr>
          <w:rFonts w:ascii="Verdana" w:eastAsia="Verdana" w:hAnsi="Verdana" w:cs="Verdana"/>
          <w:color w:val="006AB2"/>
          <w:sz w:val="24"/>
          <w:szCs w:val="24"/>
          <w:lang w:val="de-DE"/>
        </w:rPr>
      </w:pPr>
      <w:r w:rsidRPr="00852EFD">
        <w:rPr>
          <w:rFonts w:ascii="Verdana" w:hAnsi="Verdana"/>
          <w:b/>
          <w:color w:val="0070C0"/>
          <w:sz w:val="24"/>
          <w:szCs w:val="24"/>
          <w:lang w:val="de-DE"/>
        </w:rPr>
        <w:t>11.3</w:t>
      </w:r>
      <w:r w:rsidR="00AB529E" w:rsidRPr="00852EFD">
        <w:rPr>
          <w:rFonts w:ascii="Verdana" w:hAnsi="Verdana"/>
          <w:b/>
          <w:color w:val="0070C0"/>
          <w:sz w:val="24"/>
          <w:szCs w:val="24"/>
          <w:lang w:val="de-DE"/>
        </w:rPr>
        <w:t>b</w:t>
      </w:r>
      <w:r w:rsidR="00393401" w:rsidRPr="00852EFD">
        <w:rPr>
          <w:rFonts w:ascii="Verdana" w:hAnsi="Verdana"/>
          <w:b/>
          <w:color w:val="0070C0"/>
          <w:sz w:val="24"/>
          <w:szCs w:val="24"/>
          <w:lang w:val="de-DE"/>
        </w:rPr>
        <w:t>.</w:t>
      </w:r>
      <w:r w:rsidR="00AB529E" w:rsidRPr="00852EFD">
        <w:rPr>
          <w:rFonts w:ascii="Verdana" w:hAnsi="Verdana"/>
          <w:b/>
          <w:color w:val="0070C0"/>
          <w:spacing w:val="21"/>
          <w:sz w:val="24"/>
          <w:szCs w:val="24"/>
          <w:lang w:val="de-DE"/>
        </w:rPr>
        <w:t xml:space="preserve"> </w:t>
      </w:r>
      <w:r w:rsidR="00423796" w:rsidRPr="00852EFD">
        <w:rPr>
          <w:rFonts w:ascii="Verdana" w:hAnsi="Verdana"/>
          <w:b/>
          <w:color w:val="006AB2"/>
          <w:sz w:val="24"/>
          <w:szCs w:val="24"/>
          <w:lang w:val="de-DE"/>
        </w:rPr>
        <w:t>Les symptômes précoces d’alerte (annonçant une rechute)</w:t>
      </w:r>
    </w:p>
    <w:p w:rsidR="001B10DB" w:rsidRPr="00146614" w:rsidRDefault="001B10DB">
      <w:pPr>
        <w:spacing w:before="1"/>
        <w:rPr>
          <w:rFonts w:ascii="Verdana" w:eastAsia="Verdana" w:hAnsi="Verdana" w:cs="Verdana"/>
          <w:b/>
          <w:bCs/>
          <w:lang w:val="de-DE"/>
        </w:rPr>
      </w:pPr>
    </w:p>
    <w:p w:rsidR="00423796" w:rsidRPr="00852EFD" w:rsidRDefault="00423796" w:rsidP="00852EFD">
      <w:pPr>
        <w:pStyle w:val="Textkrper"/>
        <w:spacing w:line="256" w:lineRule="auto"/>
        <w:ind w:right="195"/>
      </w:pPr>
      <w:r w:rsidRPr="00852EFD">
        <w:t>Souvent les épisodes psychotiques aigus n’arrivent pas subitement mais apparaissent progressivement. Veuillez classer les signes annonciateurs d’une rechute sur la liste ci-dessous en fonction de leur moment d’apparition. Ceci doit vous permettre d’identifier comment un nouvel épisode se développe dans le temps (adapté de Behrendt, 2009).</w:t>
      </w:r>
    </w:p>
    <w:p w:rsidR="001B10DB" w:rsidRPr="00423796" w:rsidRDefault="001B10DB">
      <w:pPr>
        <w:spacing w:before="1"/>
        <w:rPr>
          <w:rFonts w:ascii="Verdana" w:eastAsia="Verdana" w:hAnsi="Verdana" w:cs="Verdana"/>
          <w:sz w:val="23"/>
          <w:szCs w:val="23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286"/>
        <w:gridCol w:w="5528"/>
      </w:tblGrid>
      <w:tr w:rsidR="00C31CAD" w:rsidRPr="00423796" w:rsidTr="00C31CAD">
        <w:trPr>
          <w:trHeight w:hRule="exact" w:val="1405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3796" w:rsidRPr="00423796" w:rsidRDefault="00423796" w:rsidP="00423796">
            <w:pPr>
              <w:tabs>
                <w:tab w:val="left" w:pos="938"/>
              </w:tabs>
              <w:ind w:left="183"/>
              <w:rPr>
                <w:rFonts w:ascii="Verdana" w:hAnsi="Verdana"/>
                <w:sz w:val="20"/>
                <w:szCs w:val="20"/>
              </w:rPr>
            </w:pPr>
            <w:r w:rsidRPr="00423796">
              <w:rPr>
                <w:rFonts w:ascii="Verdana" w:hAnsi="Verdana"/>
                <w:b/>
                <w:sz w:val="20"/>
                <w:szCs w:val="20"/>
              </w:rPr>
              <w:t>Les symptômes d’alerte</w:t>
            </w:r>
            <w:r w:rsidRPr="0042379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23796">
              <w:rPr>
                <w:rFonts w:ascii="Verdana" w:hAnsi="Verdana"/>
                <w:b/>
                <w:sz w:val="20"/>
                <w:szCs w:val="20"/>
              </w:rPr>
              <w:t xml:space="preserve">précoces </w:t>
            </w:r>
          </w:p>
          <w:p w:rsidR="00423796" w:rsidRPr="00423796" w:rsidRDefault="00423796" w:rsidP="00423796">
            <w:pPr>
              <w:tabs>
                <w:tab w:val="left" w:pos="938"/>
              </w:tabs>
              <w:ind w:left="183"/>
              <w:rPr>
                <w:rFonts w:ascii="Verdana" w:hAnsi="Verdana"/>
                <w:sz w:val="20"/>
                <w:szCs w:val="20"/>
              </w:rPr>
            </w:pPr>
            <w:r w:rsidRPr="00423796">
              <w:rPr>
                <w:rFonts w:ascii="Verdana" w:hAnsi="Verdana"/>
                <w:sz w:val="20"/>
                <w:szCs w:val="20"/>
              </w:rPr>
              <w:t>(environ 4 semaines avant)</w:t>
            </w:r>
          </w:p>
          <w:p w:rsidR="00C31CAD" w:rsidRPr="00423796" w:rsidRDefault="00423796" w:rsidP="00423796">
            <w:pPr>
              <w:pStyle w:val="TableParagraph"/>
              <w:spacing w:before="6" w:line="216" w:lineRule="exact"/>
              <w:ind w:left="183" w:right="346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423796">
              <w:rPr>
                <w:rFonts w:ascii="Verdana" w:hAnsi="Verdana"/>
                <w:i/>
                <w:sz w:val="20"/>
                <w:szCs w:val="20"/>
              </w:rPr>
              <w:t>ex : forte méfiance, même à l’égard de vieux amis</w:t>
            </w: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3796" w:rsidRPr="00423796" w:rsidRDefault="00423796" w:rsidP="00423796">
            <w:pPr>
              <w:tabs>
                <w:tab w:val="left" w:pos="938"/>
              </w:tabs>
              <w:ind w:left="142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Les symptômes d’alerte tardifs </w:t>
            </w:r>
            <w:r w:rsidRPr="00423796">
              <w:rPr>
                <w:rFonts w:ascii="Verdana" w:hAnsi="Verdana"/>
                <w:b/>
                <w:sz w:val="20"/>
                <w:szCs w:val="20"/>
              </w:rPr>
              <w:t xml:space="preserve">premiers symptômes </w:t>
            </w:r>
          </w:p>
          <w:p w:rsidR="00423796" w:rsidRPr="00423796" w:rsidRDefault="00423796" w:rsidP="00423796">
            <w:pPr>
              <w:tabs>
                <w:tab w:val="left" w:pos="938"/>
              </w:tabs>
              <w:ind w:left="142"/>
              <w:rPr>
                <w:rFonts w:ascii="Verdana" w:hAnsi="Verdana"/>
                <w:sz w:val="20"/>
                <w:szCs w:val="20"/>
              </w:rPr>
            </w:pPr>
            <w:r w:rsidRPr="00423796">
              <w:rPr>
                <w:rFonts w:ascii="Verdana" w:hAnsi="Verdana"/>
                <w:sz w:val="20"/>
                <w:szCs w:val="20"/>
              </w:rPr>
              <w:t>(environ 1 semaine avant)</w:t>
            </w:r>
          </w:p>
          <w:p w:rsidR="00C31CAD" w:rsidRPr="00423796" w:rsidRDefault="00423796" w:rsidP="00423796">
            <w:pPr>
              <w:pStyle w:val="TableParagraph"/>
              <w:spacing w:line="264" w:lineRule="auto"/>
              <w:ind w:left="165" w:right="738"/>
              <w:rPr>
                <w:rFonts w:ascii="Verdana" w:eastAsia="Verdana" w:hAnsi="Verdana" w:cs="Verdana"/>
                <w:sz w:val="20"/>
                <w:szCs w:val="20"/>
              </w:rPr>
            </w:pPr>
            <w:r w:rsidRPr="00423796">
              <w:rPr>
                <w:rFonts w:ascii="Verdana" w:hAnsi="Verdana"/>
                <w:i/>
                <w:sz w:val="20"/>
                <w:szCs w:val="20"/>
              </w:rPr>
              <w:t>ex : très préoccupé par</w:t>
            </w:r>
            <w:r w:rsidRPr="0042379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23796">
              <w:rPr>
                <w:rFonts w:ascii="Verdana" w:hAnsi="Verdana"/>
                <w:i/>
                <w:sz w:val="20"/>
                <w:szCs w:val="20"/>
              </w:rPr>
              <w:t>les théories du complot</w:t>
            </w:r>
          </w:p>
        </w:tc>
      </w:tr>
      <w:tr w:rsidR="00C31CAD" w:rsidRPr="00423796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31CAD" w:rsidRPr="00423796" w:rsidRDefault="00C31CAD"/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31CAD" w:rsidRPr="00423796" w:rsidRDefault="00C31CAD"/>
        </w:tc>
      </w:tr>
      <w:tr w:rsidR="00C31CAD" w:rsidRPr="00423796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31CAD" w:rsidRPr="00423796" w:rsidRDefault="00C31CAD"/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31CAD" w:rsidRPr="00423796" w:rsidRDefault="00C31CAD"/>
        </w:tc>
      </w:tr>
      <w:tr w:rsidR="00C31CAD" w:rsidRPr="00423796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31CAD" w:rsidRPr="00423796" w:rsidRDefault="00C31CAD"/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31CAD" w:rsidRPr="00423796" w:rsidRDefault="00C31CAD"/>
        </w:tc>
      </w:tr>
      <w:tr w:rsidR="00C31CAD" w:rsidRPr="00423796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31CAD" w:rsidRPr="00423796" w:rsidRDefault="00C31CAD"/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31CAD" w:rsidRPr="00423796" w:rsidRDefault="00C31CAD"/>
        </w:tc>
      </w:tr>
      <w:tr w:rsidR="00C31CAD" w:rsidRPr="00423796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31CAD" w:rsidRPr="00423796" w:rsidRDefault="00C31CAD"/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31CAD" w:rsidRPr="00423796" w:rsidRDefault="00C31CAD"/>
        </w:tc>
      </w:tr>
      <w:tr w:rsidR="00C31CAD" w:rsidRPr="00423796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31CAD" w:rsidRPr="00423796" w:rsidRDefault="00C31CAD"/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31CAD" w:rsidRPr="00423796" w:rsidRDefault="00C31CAD"/>
        </w:tc>
      </w:tr>
    </w:tbl>
    <w:p w:rsidR="001B10DB" w:rsidRPr="00423796" w:rsidRDefault="001B10DB">
      <w:pPr>
        <w:spacing w:before="4"/>
        <w:rPr>
          <w:rFonts w:ascii="Verdana" w:eastAsia="Verdana" w:hAnsi="Verdana" w:cs="Verdana"/>
          <w:sz w:val="14"/>
          <w:szCs w:val="14"/>
        </w:rPr>
      </w:pPr>
    </w:p>
    <w:p w:rsidR="00423796" w:rsidRPr="00700331" w:rsidRDefault="00423796" w:rsidP="00423796">
      <w:pPr>
        <w:spacing w:line="276" w:lineRule="auto"/>
        <w:ind w:left="142"/>
        <w:rPr>
          <w:rFonts w:ascii="Verdana" w:hAnsi="Verdana"/>
          <w:b/>
          <w:bCs/>
          <w:sz w:val="20"/>
          <w:szCs w:val="20"/>
        </w:rPr>
      </w:pPr>
      <w:r w:rsidRPr="00700331">
        <w:rPr>
          <w:rFonts w:ascii="Verdana" w:hAnsi="Verdana"/>
          <w:b/>
          <w:bCs/>
          <w:sz w:val="20"/>
          <w:szCs w:val="20"/>
        </w:rPr>
        <w:t xml:space="preserve">Les </w:t>
      </w:r>
      <w:r>
        <w:rPr>
          <w:rFonts w:ascii="Verdana" w:hAnsi="Verdana"/>
          <w:b/>
          <w:bCs/>
          <w:sz w:val="20"/>
          <w:szCs w:val="20"/>
        </w:rPr>
        <w:t>symptô</w:t>
      </w:r>
      <w:r w:rsidRPr="00700331">
        <w:rPr>
          <w:rFonts w:ascii="Verdana" w:hAnsi="Verdana"/>
          <w:b/>
          <w:bCs/>
          <w:sz w:val="20"/>
          <w:szCs w:val="20"/>
        </w:rPr>
        <w:t>m</w:t>
      </w:r>
      <w:r>
        <w:rPr>
          <w:rFonts w:ascii="Verdana" w:hAnsi="Verdana"/>
          <w:b/>
          <w:bCs/>
          <w:sz w:val="20"/>
          <w:szCs w:val="20"/>
        </w:rPr>
        <w:t>e</w:t>
      </w:r>
      <w:r w:rsidRPr="00700331">
        <w:rPr>
          <w:rFonts w:ascii="Verdana" w:hAnsi="Verdana"/>
          <w:b/>
          <w:bCs/>
          <w:sz w:val="20"/>
          <w:szCs w:val="20"/>
        </w:rPr>
        <w:t xml:space="preserve">s d’alerte précoces (voir liste) sont relativement non spécifiques. </w:t>
      </w:r>
      <w:r>
        <w:rPr>
          <w:rFonts w:ascii="Verdana" w:hAnsi="Verdana"/>
          <w:b/>
          <w:bCs/>
          <w:sz w:val="20"/>
          <w:szCs w:val="20"/>
        </w:rPr>
        <w:t>Ils peuvent annoncer une rechute psychotique, mais pas obligatoirement. Cependant, soyez prudent quand plusieurs de ces symptômes arrivent simultanément et qu’ils étaient présents avant les épisodes antérieurs !</w:t>
      </w:r>
    </w:p>
    <w:p w:rsidR="001B10DB" w:rsidRPr="00423796" w:rsidRDefault="001B10DB">
      <w:pPr>
        <w:rPr>
          <w:rFonts w:ascii="Verdana" w:eastAsia="Verdana" w:hAnsi="Verdana" w:cs="Verdana"/>
          <w:b/>
          <w:bCs/>
          <w:sz w:val="20"/>
          <w:szCs w:val="20"/>
        </w:rPr>
      </w:pPr>
    </w:p>
    <w:sectPr w:rsidR="001B10DB" w:rsidRPr="00423796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D85" w:rsidRDefault="00337D85" w:rsidP="00C31CAD">
      <w:r>
        <w:separator/>
      </w:r>
    </w:p>
  </w:endnote>
  <w:endnote w:type="continuationSeparator" w:id="0">
    <w:p w:rsidR="00337D85" w:rsidRDefault="00337D85" w:rsidP="00C3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796" w:rsidRPr="00FA7661" w:rsidRDefault="00423796" w:rsidP="00423796">
    <w:pPr>
      <w:pStyle w:val="Fuzeile"/>
      <w:jc w:val="center"/>
    </w:pPr>
    <w:r>
      <w:rPr>
        <w:rFonts w:ascii="Verdana" w:hAnsi="Verdana"/>
        <w:sz w:val="16"/>
        <w:szCs w:val="16"/>
      </w:rPr>
      <w:t>feuille de travail du module thérapeutique</w:t>
    </w:r>
    <w:r w:rsidRPr="00FA7661">
      <w:rPr>
        <w:rFonts w:ascii="Verdana" w:hAnsi="Verdana"/>
        <w:sz w:val="16"/>
        <w:szCs w:val="16"/>
      </w:rPr>
      <w:t xml:space="preserve"> 11</w:t>
    </w:r>
    <w:r>
      <w:rPr>
        <w:rFonts w:ascii="Verdana" w:hAnsi="Verdana"/>
        <w:sz w:val="16"/>
        <w:szCs w:val="16"/>
      </w:rPr>
      <w:t xml:space="preserve"> :</w:t>
    </w:r>
    <w:r w:rsidRPr="00FA7661">
      <w:rPr>
        <w:rFonts w:ascii="Verdana" w:hAnsi="Verdana"/>
        <w:sz w:val="16"/>
        <w:szCs w:val="16"/>
      </w:rPr>
      <w:t xml:space="preserve"> </w:t>
    </w:r>
    <w:r w:rsidRPr="00A238C6">
      <w:rPr>
        <w:rFonts w:ascii="Verdana" w:hAnsi="Verdana"/>
        <w:sz w:val="16"/>
        <w:szCs w:val="16"/>
      </w:rPr>
      <w:t>vivre avec un trouble psychotique et prévenir les rechutes</w:t>
    </w:r>
  </w:p>
  <w:p w:rsidR="00C31CAD" w:rsidRPr="00423796" w:rsidRDefault="00C31CA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D85" w:rsidRDefault="00337D85" w:rsidP="00C31CAD">
      <w:r>
        <w:separator/>
      </w:r>
    </w:p>
  </w:footnote>
  <w:footnote w:type="continuationSeparator" w:id="0">
    <w:p w:rsidR="00337D85" w:rsidRDefault="00337D85" w:rsidP="00C31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7D5ECB"/>
    <w:multiLevelType w:val="multilevel"/>
    <w:tmpl w:val="326E03A2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0DB"/>
    <w:rsid w:val="00146614"/>
    <w:rsid w:val="001B10DB"/>
    <w:rsid w:val="002B1E57"/>
    <w:rsid w:val="00337D85"/>
    <w:rsid w:val="00393401"/>
    <w:rsid w:val="00423796"/>
    <w:rsid w:val="007A3D51"/>
    <w:rsid w:val="00852EFD"/>
    <w:rsid w:val="0097741D"/>
    <w:rsid w:val="00A05E13"/>
    <w:rsid w:val="00AB529E"/>
    <w:rsid w:val="00AF0531"/>
    <w:rsid w:val="00B42F49"/>
    <w:rsid w:val="00B66A56"/>
    <w:rsid w:val="00BE4DA4"/>
    <w:rsid w:val="00C31CAD"/>
    <w:rsid w:val="00C440C8"/>
    <w:rsid w:val="00C93BF7"/>
    <w:rsid w:val="00E71176"/>
    <w:rsid w:val="00FE07D1"/>
    <w:rsid w:val="00FF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51A314-C58E-4A99-A660-60593B92D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next w:val="Standard"/>
    <w:link w:val="berschrift1Zchn"/>
    <w:uiPriority w:val="99"/>
    <w:qFormat/>
    <w:rsid w:val="00423796"/>
    <w:pPr>
      <w:keepNext/>
      <w:keepLines/>
      <w:widowControl/>
      <w:numPr>
        <w:numId w:val="1"/>
      </w:numPr>
      <w:pBdr>
        <w:bottom w:val="single" w:sz="4" w:space="1" w:color="auto"/>
      </w:pBdr>
      <w:spacing w:before="480" w:line="360" w:lineRule="auto"/>
      <w:jc w:val="both"/>
      <w:outlineLvl w:val="0"/>
    </w:pPr>
    <w:rPr>
      <w:rFonts w:ascii="Verdana" w:eastAsia="Times New Roman" w:hAnsi="Verdana" w:cs="Times New Roman"/>
      <w:bCs/>
      <w:sz w:val="48"/>
      <w:szCs w:val="32"/>
      <w:lang w:val="fr-FR" w:eastAsia="ja-JP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23796"/>
    <w:pPr>
      <w:keepNext/>
      <w:keepLines/>
      <w:widowControl/>
      <w:numPr>
        <w:ilvl w:val="1"/>
        <w:numId w:val="1"/>
      </w:numPr>
      <w:spacing w:before="200" w:line="360" w:lineRule="auto"/>
      <w:jc w:val="both"/>
      <w:outlineLvl w:val="1"/>
    </w:pPr>
    <w:rPr>
      <w:rFonts w:ascii="Verdana" w:eastAsia="Times New Roman" w:hAnsi="Verdana" w:cs="Times New Roman"/>
      <w:bCs/>
      <w:sz w:val="28"/>
      <w:szCs w:val="26"/>
      <w:lang w:val="fr-FR" w:eastAsia="ja-JP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23796"/>
    <w:pPr>
      <w:keepNext/>
      <w:keepLines/>
      <w:widowControl/>
      <w:numPr>
        <w:ilvl w:val="2"/>
        <w:numId w:val="1"/>
      </w:numPr>
      <w:spacing w:before="200" w:line="360" w:lineRule="auto"/>
      <w:jc w:val="both"/>
      <w:outlineLvl w:val="2"/>
    </w:pPr>
    <w:rPr>
      <w:rFonts w:ascii="Verdana" w:eastAsia="Times New Roman" w:hAnsi="Verdana" w:cs="Times New Roman"/>
      <w:bCs/>
      <w:i/>
      <w:sz w:val="28"/>
      <w:szCs w:val="20"/>
      <w:lang w:val="fr-FR" w:eastAsia="ja-JP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423796"/>
    <w:pPr>
      <w:keepNext/>
      <w:keepLines/>
      <w:widowControl/>
      <w:numPr>
        <w:ilvl w:val="3"/>
        <w:numId w:val="1"/>
      </w:numPr>
      <w:spacing w:before="200" w:line="360" w:lineRule="auto"/>
      <w:jc w:val="both"/>
      <w:outlineLvl w:val="3"/>
    </w:pPr>
    <w:rPr>
      <w:rFonts w:ascii="Verdana" w:eastAsia="Times New Roman" w:hAnsi="Verdana" w:cs="Times New Roman"/>
      <w:bCs/>
      <w:i/>
      <w:iCs/>
      <w:sz w:val="20"/>
      <w:szCs w:val="20"/>
      <w:lang w:val="fr-FR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31CA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1CAD"/>
  </w:style>
  <w:style w:type="paragraph" w:styleId="Fuzeile">
    <w:name w:val="footer"/>
    <w:basedOn w:val="Standard"/>
    <w:link w:val="FuzeileZchn"/>
    <w:uiPriority w:val="99"/>
    <w:unhideWhenUsed/>
    <w:rsid w:val="00C31CA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1CA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1CA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1CAD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9"/>
    <w:rsid w:val="00423796"/>
    <w:rPr>
      <w:rFonts w:ascii="Verdana" w:eastAsia="Times New Roman" w:hAnsi="Verdana" w:cs="Times New Roman"/>
      <w:bCs/>
      <w:sz w:val="48"/>
      <w:szCs w:val="32"/>
      <w:lang w:val="fr-FR" w:eastAsia="ja-JP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423796"/>
    <w:rPr>
      <w:rFonts w:ascii="Verdana" w:eastAsia="Times New Roman" w:hAnsi="Verdana" w:cs="Times New Roman"/>
      <w:bCs/>
      <w:sz w:val="28"/>
      <w:szCs w:val="26"/>
      <w:lang w:val="fr-FR" w:eastAsia="ja-JP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423796"/>
    <w:rPr>
      <w:rFonts w:ascii="Verdana" w:eastAsia="Times New Roman" w:hAnsi="Verdana" w:cs="Times New Roman"/>
      <w:bCs/>
      <w:i/>
      <w:sz w:val="28"/>
      <w:szCs w:val="20"/>
      <w:lang w:val="fr-FR" w:eastAsia="ja-JP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423796"/>
    <w:rPr>
      <w:rFonts w:ascii="Verdana" w:eastAsia="Times New Roman" w:hAnsi="Verdana" w:cs="Times New Roman"/>
      <w:bCs/>
      <w:i/>
      <w:iCs/>
      <w:sz w:val="20"/>
      <w:szCs w:val="20"/>
      <w:lang w:val="fr-FR" w:eastAsia="ja-JP"/>
    </w:rPr>
  </w:style>
  <w:style w:type="table" w:styleId="Tabellenraster">
    <w:name w:val="Table Grid"/>
    <w:basedOn w:val="NormaleTabelle"/>
    <w:uiPriority w:val="59"/>
    <w:rsid w:val="00E71176"/>
    <w:pPr>
      <w:widowControl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6</cp:revision>
  <cp:lastPrinted>2015-05-27T11:08:00Z</cp:lastPrinted>
  <dcterms:created xsi:type="dcterms:W3CDTF">2016-10-11T14:16:00Z</dcterms:created>
  <dcterms:modified xsi:type="dcterms:W3CDTF">2017-11-24T11:12:00Z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